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51B1" w14:textId="7973F459" w:rsidR="004B2596" w:rsidRPr="00E37F11" w:rsidRDefault="00A843FC" w:rsidP="003E664D">
      <w:pPr>
        <w:pStyle w:val="FirstParagraph"/>
        <w:spacing w:line="276" w:lineRule="auto"/>
        <w:jc w:val="center"/>
        <w:rPr>
          <w:rFonts w:ascii="Garamond" w:hAnsi="Garamond" w:cs="Times New Roman"/>
          <w:sz w:val="25"/>
          <w:szCs w:val="25"/>
          <w:u w:val="single"/>
        </w:rPr>
      </w:pPr>
      <w:bookmarkStart w:id="0" w:name="content"/>
      <w:r w:rsidRPr="00E37F11">
        <w:rPr>
          <w:rFonts w:ascii="Garamond" w:hAnsi="Garamond" w:cs="Times New Roman"/>
          <w:b/>
          <w:bCs/>
          <w:sz w:val="25"/>
          <w:szCs w:val="25"/>
          <w:u w:val="single"/>
        </w:rPr>
        <w:t>Indian Journal of International Economic Law (IJIEL)</w:t>
      </w:r>
      <w:r w:rsidRPr="00E37F11">
        <w:rPr>
          <w:rFonts w:ascii="Garamond" w:hAnsi="Garamond" w:cs="Times New Roman"/>
          <w:sz w:val="25"/>
          <w:szCs w:val="25"/>
          <w:u w:val="single"/>
        </w:rPr>
        <w:br/>
      </w:r>
      <w:r w:rsidRPr="00E37F11">
        <w:rPr>
          <w:rFonts w:ascii="Garamond" w:hAnsi="Garamond" w:cs="Times New Roman"/>
          <w:b/>
          <w:bCs/>
          <w:sz w:val="25"/>
          <w:szCs w:val="25"/>
          <w:u w:val="single"/>
        </w:rPr>
        <w:t>Volume 17(2): Digital Competition Regulation and International Economic Law</w:t>
      </w:r>
    </w:p>
    <w:p w14:paraId="0AC9237A" w14:textId="77777777" w:rsidR="00A843FC" w:rsidRPr="00E37F11" w:rsidRDefault="00A843FC" w:rsidP="00CD0382">
      <w:pPr>
        <w:pStyle w:val="BodyText"/>
        <w:spacing w:after="0" w:line="276" w:lineRule="auto"/>
        <w:jc w:val="center"/>
        <w:rPr>
          <w:rFonts w:ascii="Garamond" w:hAnsi="Garamond" w:cs="Times New Roman"/>
          <w:b/>
          <w:bCs/>
          <w:sz w:val="25"/>
          <w:szCs w:val="25"/>
        </w:rPr>
      </w:pPr>
    </w:p>
    <w:p w14:paraId="5DC09562" w14:textId="17B16054" w:rsidR="00CD0382" w:rsidRPr="00E37F11" w:rsidRDefault="00000000" w:rsidP="00CD0382">
      <w:pPr>
        <w:pStyle w:val="BodyText"/>
        <w:spacing w:after="0" w:line="276" w:lineRule="auto"/>
        <w:jc w:val="center"/>
        <w:rPr>
          <w:rFonts w:ascii="Garamond" w:hAnsi="Garamond" w:cs="Times New Roman"/>
          <w:sz w:val="25"/>
          <w:szCs w:val="25"/>
        </w:rPr>
      </w:pPr>
      <w:r w:rsidRPr="00E37F11">
        <w:rPr>
          <w:rFonts w:ascii="Garamond" w:hAnsi="Garamond" w:cs="Times New Roman"/>
          <w:b/>
          <w:bCs/>
          <w:sz w:val="25"/>
          <w:szCs w:val="25"/>
        </w:rPr>
        <w:t>Introduction</w:t>
      </w:r>
    </w:p>
    <w:p w14:paraId="7C91ACE2" w14:textId="6525229F" w:rsidR="000A166D" w:rsidRPr="00E37F11" w:rsidRDefault="000A166D" w:rsidP="00CD0382">
      <w:pPr>
        <w:pStyle w:val="BodyText"/>
        <w:spacing w:after="0" w:line="276" w:lineRule="auto"/>
        <w:jc w:val="both"/>
        <w:rPr>
          <w:rFonts w:ascii="Garamond" w:hAnsi="Garamond" w:cs="Times New Roman"/>
          <w:b/>
          <w:bCs/>
          <w:sz w:val="25"/>
          <w:szCs w:val="25"/>
        </w:rPr>
      </w:pPr>
      <w:r w:rsidRPr="00E37F11">
        <w:rPr>
          <w:rFonts w:ascii="Garamond" w:hAnsi="Garamond" w:cs="Times New Roman"/>
          <w:sz w:val="25"/>
          <w:szCs w:val="25"/>
        </w:rPr>
        <w:t>The digital economy has transformed how goods and services are produced, distributed</w:t>
      </w:r>
      <w:r w:rsidR="003E664D" w:rsidRPr="00E37F11">
        <w:rPr>
          <w:rFonts w:ascii="Garamond" w:hAnsi="Garamond" w:cs="Times New Roman"/>
          <w:sz w:val="25"/>
          <w:szCs w:val="25"/>
        </w:rPr>
        <w:t xml:space="preserve"> </w:t>
      </w:r>
      <w:r w:rsidRPr="00E37F11">
        <w:rPr>
          <w:rFonts w:ascii="Garamond" w:hAnsi="Garamond" w:cs="Times New Roman"/>
          <w:sz w:val="25"/>
          <w:szCs w:val="25"/>
        </w:rPr>
        <w:t xml:space="preserve">and consumed, giving rise to new modes of market organization and unprecedented concentrations of power. As digital platforms increasingly serve as </w:t>
      </w:r>
      <w:r w:rsidR="003E664D" w:rsidRPr="00E37F11">
        <w:rPr>
          <w:rFonts w:ascii="Garamond" w:hAnsi="Garamond" w:cs="Times New Roman"/>
          <w:sz w:val="25"/>
          <w:szCs w:val="25"/>
        </w:rPr>
        <w:t xml:space="preserve">the </w:t>
      </w:r>
      <w:r w:rsidRPr="00E37F11">
        <w:rPr>
          <w:rFonts w:ascii="Garamond" w:hAnsi="Garamond" w:cs="Times New Roman"/>
          <w:sz w:val="25"/>
          <w:szCs w:val="25"/>
        </w:rPr>
        <w:t xml:space="preserve">central </w:t>
      </w:r>
      <w:r w:rsidR="003E664D" w:rsidRPr="00E37F11">
        <w:rPr>
          <w:rFonts w:ascii="Garamond" w:hAnsi="Garamond" w:cs="Times New Roman"/>
          <w:sz w:val="25"/>
          <w:szCs w:val="25"/>
        </w:rPr>
        <w:t xml:space="preserve">organizing </w:t>
      </w:r>
      <w:r w:rsidRPr="00E37F11">
        <w:rPr>
          <w:rFonts w:ascii="Garamond" w:hAnsi="Garamond" w:cs="Times New Roman"/>
          <w:sz w:val="25"/>
          <w:szCs w:val="25"/>
        </w:rPr>
        <w:t>infrastructure for commerce, concerns around market access, fairness</w:t>
      </w:r>
      <w:r w:rsidR="003E664D" w:rsidRPr="00E37F11">
        <w:rPr>
          <w:rFonts w:ascii="Garamond" w:hAnsi="Garamond" w:cs="Times New Roman"/>
          <w:sz w:val="25"/>
          <w:szCs w:val="25"/>
        </w:rPr>
        <w:t xml:space="preserve"> </w:t>
      </w:r>
      <w:r w:rsidRPr="00E37F11">
        <w:rPr>
          <w:rFonts w:ascii="Garamond" w:hAnsi="Garamond" w:cs="Times New Roman"/>
          <w:sz w:val="25"/>
          <w:szCs w:val="25"/>
        </w:rPr>
        <w:t xml:space="preserve">and competition </w:t>
      </w:r>
      <w:r w:rsidR="003E664D" w:rsidRPr="00E37F11">
        <w:rPr>
          <w:rFonts w:ascii="Garamond" w:hAnsi="Garamond" w:cs="Times New Roman"/>
          <w:sz w:val="25"/>
          <w:szCs w:val="25"/>
        </w:rPr>
        <w:t>magnif</w:t>
      </w:r>
      <w:r w:rsidR="00A843FC" w:rsidRPr="00E37F11">
        <w:rPr>
          <w:rFonts w:ascii="Garamond" w:hAnsi="Garamond" w:cs="Times New Roman"/>
          <w:sz w:val="25"/>
          <w:szCs w:val="25"/>
        </w:rPr>
        <w:t>y</w:t>
      </w:r>
      <w:r w:rsidRPr="00E37F11">
        <w:rPr>
          <w:rFonts w:ascii="Garamond" w:hAnsi="Garamond" w:cs="Times New Roman"/>
          <w:sz w:val="25"/>
          <w:szCs w:val="25"/>
        </w:rPr>
        <w:t>. These are no longer limited to national debates on consumer welfare or innovation</w:t>
      </w:r>
      <w:r w:rsidR="00423858" w:rsidRPr="00E37F11">
        <w:rPr>
          <w:rFonts w:ascii="Garamond" w:hAnsi="Garamond" w:cs="Times New Roman"/>
          <w:sz w:val="25"/>
          <w:szCs w:val="25"/>
        </w:rPr>
        <w:t>; they</w:t>
      </w:r>
      <w:r w:rsidRPr="00E37F11">
        <w:rPr>
          <w:rFonts w:ascii="Garamond" w:hAnsi="Garamond" w:cs="Times New Roman"/>
          <w:sz w:val="25"/>
          <w:szCs w:val="25"/>
        </w:rPr>
        <w:t xml:space="preserve"> implicate broader questions of economic sovereignty, regulatory competence, and cross-border governance. While competition law has traditionally evolved within domestic legal systems, its application to digital markets with global reach creates challenges that transcend jurisdictional boundaries.</w:t>
      </w:r>
      <w:r w:rsidR="00CE4819" w:rsidRPr="00E37F11">
        <w:rPr>
          <w:rFonts w:ascii="Garamond" w:hAnsi="Garamond" w:cs="Times New Roman"/>
          <w:sz w:val="25"/>
          <w:szCs w:val="25"/>
        </w:rPr>
        <w:t xml:space="preserve"> </w:t>
      </w:r>
    </w:p>
    <w:p w14:paraId="20270039" w14:textId="40770EE7" w:rsidR="000A166D" w:rsidRPr="00E37F11" w:rsidRDefault="000A166D"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 xml:space="preserve">This evolving regulatory landscape now intersects in fundamental ways with international economic law. Institutions that were designed to facilitate trade liberalization and reduce discrimination between trading partners are now confronted with a parallel movement toward assertive domestic regulation of digital markets. </w:t>
      </w:r>
      <w:r w:rsidR="00CE4819" w:rsidRPr="00E37F11">
        <w:rPr>
          <w:rFonts w:ascii="Garamond" w:hAnsi="Garamond" w:cs="Times New Roman"/>
          <w:sz w:val="25"/>
          <w:szCs w:val="25"/>
        </w:rPr>
        <w:t xml:space="preserve">The normative and institutional foundations of </w:t>
      </w:r>
      <w:r w:rsidR="005A5568">
        <w:rPr>
          <w:rFonts w:ascii="Garamond" w:hAnsi="Garamond" w:cs="Times New Roman"/>
          <w:sz w:val="25"/>
          <w:szCs w:val="25"/>
        </w:rPr>
        <w:t xml:space="preserve">international </w:t>
      </w:r>
      <w:r w:rsidR="00CE4819" w:rsidRPr="00E37F11">
        <w:rPr>
          <w:rFonts w:ascii="Garamond" w:hAnsi="Garamond" w:cs="Times New Roman"/>
          <w:sz w:val="25"/>
          <w:szCs w:val="25"/>
        </w:rPr>
        <w:t xml:space="preserve">economic law are being tested by demands that did not exist when many of these frameworks were first negotiated. </w:t>
      </w:r>
      <w:r w:rsidRPr="00E37F11">
        <w:rPr>
          <w:rFonts w:ascii="Garamond" w:hAnsi="Garamond" w:cs="Times New Roman"/>
          <w:sz w:val="25"/>
          <w:szCs w:val="25"/>
        </w:rPr>
        <w:t xml:space="preserve">As states grapple with how best to address digital </w:t>
      </w:r>
      <w:r w:rsidR="00CE4819" w:rsidRPr="00E37F11">
        <w:rPr>
          <w:rFonts w:ascii="Garamond" w:hAnsi="Garamond" w:cs="Times New Roman"/>
          <w:sz w:val="25"/>
          <w:szCs w:val="25"/>
        </w:rPr>
        <w:t xml:space="preserve">platform </w:t>
      </w:r>
      <w:r w:rsidRPr="00E37F11">
        <w:rPr>
          <w:rFonts w:ascii="Garamond" w:hAnsi="Garamond" w:cs="Times New Roman"/>
          <w:sz w:val="25"/>
          <w:szCs w:val="25"/>
        </w:rPr>
        <w:t xml:space="preserve">concentration, data-driven business models and algorithmic power, there is growing uncertainty over how these regulatory frameworks interact with international trade rules, investment protections, and principles of economic cooperation. </w:t>
      </w:r>
    </w:p>
    <w:p w14:paraId="25CEBE05" w14:textId="69EA9EA5" w:rsidR="000A166D" w:rsidRPr="00E37F11" w:rsidRDefault="000A166D"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The consequences of this moment are significant. Rules crafted to discipline tariffs, quotas and discriminatory licensing practices</w:t>
      </w:r>
      <w:r w:rsidR="00CE4819" w:rsidRPr="00E37F11">
        <w:rPr>
          <w:rFonts w:ascii="Garamond" w:hAnsi="Garamond" w:cs="Times New Roman"/>
          <w:sz w:val="25"/>
          <w:szCs w:val="25"/>
        </w:rPr>
        <w:t>, among others,</w:t>
      </w:r>
      <w:r w:rsidRPr="00E37F11">
        <w:rPr>
          <w:rFonts w:ascii="Garamond" w:hAnsi="Garamond" w:cs="Times New Roman"/>
          <w:sz w:val="25"/>
          <w:szCs w:val="25"/>
        </w:rPr>
        <w:t xml:space="preserve"> must now engage with competition frameworks focused on market structure</w:t>
      </w:r>
      <w:r w:rsidR="00CD0382" w:rsidRPr="00E37F11">
        <w:rPr>
          <w:rFonts w:ascii="Garamond" w:hAnsi="Garamond" w:cs="Times New Roman"/>
          <w:sz w:val="25"/>
          <w:szCs w:val="25"/>
        </w:rPr>
        <w:t xml:space="preserve"> and </w:t>
      </w:r>
      <w:r w:rsidRPr="00E37F11">
        <w:rPr>
          <w:rFonts w:ascii="Garamond" w:hAnsi="Garamond" w:cs="Times New Roman"/>
          <w:sz w:val="25"/>
          <w:szCs w:val="25"/>
        </w:rPr>
        <w:t>platform desig</w:t>
      </w:r>
      <w:r w:rsidR="00CD0382" w:rsidRPr="00E37F11">
        <w:rPr>
          <w:rFonts w:ascii="Garamond" w:hAnsi="Garamond" w:cs="Times New Roman"/>
          <w:sz w:val="25"/>
          <w:szCs w:val="25"/>
        </w:rPr>
        <w:t>n</w:t>
      </w:r>
      <w:r w:rsidRPr="00E37F11">
        <w:rPr>
          <w:rFonts w:ascii="Garamond" w:hAnsi="Garamond" w:cs="Times New Roman"/>
          <w:sz w:val="25"/>
          <w:szCs w:val="25"/>
        </w:rPr>
        <w:t xml:space="preserve">. Legal uncertainty arises from the absence of clear interpretive guidance on how domestic regulatory objectives </w:t>
      </w:r>
      <w:r w:rsidR="00CD0382" w:rsidRPr="00E37F11">
        <w:rPr>
          <w:rFonts w:ascii="Garamond" w:hAnsi="Garamond" w:cs="Times New Roman"/>
          <w:sz w:val="25"/>
          <w:szCs w:val="25"/>
        </w:rPr>
        <w:t xml:space="preserve">and resultant obligations </w:t>
      </w:r>
      <w:r w:rsidRPr="00E37F11">
        <w:rPr>
          <w:rFonts w:ascii="Garamond" w:hAnsi="Garamond" w:cs="Times New Roman"/>
          <w:sz w:val="25"/>
          <w:szCs w:val="25"/>
        </w:rPr>
        <w:t xml:space="preserve">can be reconciled with </w:t>
      </w:r>
      <w:r w:rsidR="005A5568">
        <w:rPr>
          <w:rFonts w:ascii="Garamond" w:hAnsi="Garamond" w:cs="Times New Roman"/>
          <w:sz w:val="25"/>
          <w:szCs w:val="25"/>
        </w:rPr>
        <w:t xml:space="preserve">international </w:t>
      </w:r>
      <w:r w:rsidRPr="00E37F11">
        <w:rPr>
          <w:rFonts w:ascii="Garamond" w:hAnsi="Garamond" w:cs="Times New Roman"/>
          <w:sz w:val="25"/>
          <w:szCs w:val="25"/>
        </w:rPr>
        <w:t>trade and investment commitments. Meanwhile, governments face increasing pressure to protect their digital economies while preserving access to foreign markets and avoiding retaliatory measures. This moment demands careful reflection on how the tools and assumptions of international economic law must evolve to remain responsive to the demands of a digitized global economy.</w:t>
      </w:r>
    </w:p>
    <w:p w14:paraId="05B87BC3" w14:textId="43D64E2D" w:rsidR="00A843FC" w:rsidRPr="00E37F11" w:rsidRDefault="00CD0382" w:rsidP="0081653F">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 xml:space="preserve">It is </w:t>
      </w:r>
      <w:r w:rsidR="000A166D" w:rsidRPr="00E37F11">
        <w:rPr>
          <w:rFonts w:ascii="Garamond" w:hAnsi="Garamond" w:cs="Times New Roman"/>
          <w:sz w:val="25"/>
          <w:szCs w:val="25"/>
        </w:rPr>
        <w:t xml:space="preserve">this </w:t>
      </w:r>
      <w:r w:rsidR="007434EA">
        <w:rPr>
          <w:rFonts w:ascii="Garamond" w:hAnsi="Garamond" w:cs="Times New Roman"/>
          <w:sz w:val="25"/>
          <w:szCs w:val="25"/>
        </w:rPr>
        <w:t xml:space="preserve">interaction </w:t>
      </w:r>
      <w:r w:rsidRPr="00E37F11">
        <w:rPr>
          <w:rFonts w:ascii="Garamond" w:hAnsi="Garamond" w:cs="Times New Roman"/>
          <w:sz w:val="25"/>
          <w:szCs w:val="25"/>
        </w:rPr>
        <w:t>that this special issue seeks to address</w:t>
      </w:r>
      <w:r w:rsidR="000A166D" w:rsidRPr="00E37F11">
        <w:rPr>
          <w:rFonts w:ascii="Garamond" w:hAnsi="Garamond" w:cs="Times New Roman"/>
          <w:sz w:val="25"/>
          <w:szCs w:val="25"/>
        </w:rPr>
        <w:t xml:space="preserve">. </w:t>
      </w:r>
      <w:r w:rsidR="000A166D" w:rsidRPr="00AA7FC3">
        <w:rPr>
          <w:rFonts w:ascii="Garamond" w:hAnsi="Garamond" w:cs="Times New Roman"/>
          <w:b/>
          <w:bCs/>
          <w:sz w:val="25"/>
          <w:szCs w:val="25"/>
        </w:rPr>
        <w:t xml:space="preserve">It invites scholarship that critically examines how digital competition regulation </w:t>
      </w:r>
      <w:r w:rsidRPr="00AA7FC3">
        <w:rPr>
          <w:rFonts w:ascii="Garamond" w:hAnsi="Garamond" w:cs="Times New Roman"/>
          <w:b/>
          <w:bCs/>
          <w:sz w:val="25"/>
          <w:szCs w:val="25"/>
        </w:rPr>
        <w:t xml:space="preserve">confronts, complicates or </w:t>
      </w:r>
      <w:r w:rsidR="000A166D" w:rsidRPr="00AA7FC3">
        <w:rPr>
          <w:rFonts w:ascii="Garamond" w:hAnsi="Garamond" w:cs="Times New Roman"/>
          <w:b/>
          <w:bCs/>
          <w:sz w:val="25"/>
          <w:szCs w:val="25"/>
        </w:rPr>
        <w:t>complements the structures and principles of international economic law.</w:t>
      </w:r>
      <w:r w:rsidR="000A166D" w:rsidRPr="00E37F11">
        <w:rPr>
          <w:rFonts w:ascii="Garamond" w:hAnsi="Garamond" w:cs="Times New Roman"/>
          <w:sz w:val="25"/>
          <w:szCs w:val="25"/>
        </w:rPr>
        <w:t xml:space="preserve"> By bringing together work at the intersection of trade, investment and competition law, th</w:t>
      </w:r>
      <w:r w:rsidRPr="00E37F11">
        <w:rPr>
          <w:rFonts w:ascii="Garamond" w:hAnsi="Garamond" w:cs="Times New Roman"/>
          <w:sz w:val="25"/>
          <w:szCs w:val="25"/>
        </w:rPr>
        <w:t>is</w:t>
      </w:r>
      <w:r w:rsidR="000A166D" w:rsidRPr="00E37F11">
        <w:rPr>
          <w:rFonts w:ascii="Garamond" w:hAnsi="Garamond" w:cs="Times New Roman"/>
          <w:sz w:val="25"/>
          <w:szCs w:val="25"/>
        </w:rPr>
        <w:t xml:space="preserve"> issue aims to build a foundational understanding of how regulatory choices</w:t>
      </w:r>
      <w:r w:rsidR="00307C85" w:rsidRPr="00E37F11">
        <w:rPr>
          <w:rFonts w:ascii="Garamond" w:hAnsi="Garamond" w:cs="Times New Roman"/>
          <w:sz w:val="25"/>
          <w:szCs w:val="25"/>
        </w:rPr>
        <w:t xml:space="preserve"> in the coopetition law regime</w:t>
      </w:r>
      <w:r w:rsidR="000A166D" w:rsidRPr="00E37F11">
        <w:rPr>
          <w:rFonts w:ascii="Garamond" w:hAnsi="Garamond" w:cs="Times New Roman"/>
          <w:sz w:val="25"/>
          <w:szCs w:val="25"/>
        </w:rPr>
        <w:t xml:space="preserve"> </w:t>
      </w:r>
      <w:r w:rsidR="00307C85" w:rsidRPr="00E37F11">
        <w:rPr>
          <w:rFonts w:ascii="Garamond" w:hAnsi="Garamond" w:cs="Times New Roman"/>
          <w:sz w:val="25"/>
          <w:szCs w:val="25"/>
        </w:rPr>
        <w:t>pertaining to</w:t>
      </w:r>
      <w:r w:rsidR="000A166D" w:rsidRPr="00E37F11">
        <w:rPr>
          <w:rFonts w:ascii="Garamond" w:hAnsi="Garamond" w:cs="Times New Roman"/>
          <w:sz w:val="25"/>
          <w:szCs w:val="25"/>
        </w:rPr>
        <w:t xml:space="preserve"> the digital </w:t>
      </w:r>
      <w:r w:rsidR="00307C85" w:rsidRPr="00E37F11">
        <w:rPr>
          <w:rFonts w:ascii="Garamond" w:hAnsi="Garamond" w:cs="Times New Roman"/>
          <w:sz w:val="25"/>
          <w:szCs w:val="25"/>
        </w:rPr>
        <w:t xml:space="preserve">platform </w:t>
      </w:r>
      <w:r w:rsidR="000A166D" w:rsidRPr="00E37F11">
        <w:rPr>
          <w:rFonts w:ascii="Garamond" w:hAnsi="Garamond" w:cs="Times New Roman"/>
          <w:sz w:val="25"/>
          <w:szCs w:val="25"/>
        </w:rPr>
        <w:t>economy reshape the contours of international</w:t>
      </w:r>
      <w:r w:rsidR="00307C85" w:rsidRPr="00E37F11">
        <w:rPr>
          <w:rFonts w:ascii="Garamond" w:hAnsi="Garamond" w:cs="Times New Roman"/>
          <w:sz w:val="25"/>
          <w:szCs w:val="25"/>
        </w:rPr>
        <w:t xml:space="preserve"> trade and investment</w:t>
      </w:r>
      <w:r w:rsidR="000A166D" w:rsidRPr="00E37F11">
        <w:rPr>
          <w:rFonts w:ascii="Garamond" w:hAnsi="Garamond" w:cs="Times New Roman"/>
          <w:sz w:val="25"/>
          <w:szCs w:val="25"/>
        </w:rPr>
        <w:t>.</w:t>
      </w:r>
    </w:p>
    <w:p w14:paraId="34B1DD63" w14:textId="7B123CEE" w:rsidR="000A166D" w:rsidRPr="00E37F11" w:rsidRDefault="000A166D" w:rsidP="00FB0AB0">
      <w:pPr>
        <w:pStyle w:val="BodyText"/>
        <w:spacing w:line="276" w:lineRule="auto"/>
        <w:jc w:val="center"/>
        <w:rPr>
          <w:rFonts w:ascii="Garamond" w:hAnsi="Garamond" w:cs="Times New Roman"/>
          <w:b/>
          <w:bCs/>
          <w:sz w:val="25"/>
          <w:szCs w:val="25"/>
        </w:rPr>
      </w:pPr>
      <w:r w:rsidRPr="00E37F11">
        <w:rPr>
          <w:rFonts w:ascii="Garamond" w:hAnsi="Garamond" w:cs="Times New Roman"/>
          <w:b/>
          <w:bCs/>
          <w:sz w:val="25"/>
          <w:szCs w:val="25"/>
        </w:rPr>
        <w:lastRenderedPageBreak/>
        <w:t>Vision for the Issue</w:t>
      </w:r>
    </w:p>
    <w:p w14:paraId="72EE6908" w14:textId="2D465512" w:rsidR="000A166D" w:rsidRPr="00E37F11" w:rsidRDefault="000A166D"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 xml:space="preserve">Digital markets have become a focal point for new competition regulation, with policymakers worldwide exhibiting a strong regulatory impulse to rein in the dominance of “Big Tech” through ex ante rules. This is exemplified by regimes like the EU’s Digital Markets Act (DMA) and similar proposals (e.g. India’s draft Digital Competition Bill identifying Systemically Significant Digital Enterprises (SSDEs)). These frameworks impose upfront obligations on designated digital “gatekeepers” to prevent anti-competitive practices before they occur. However, this regulatory impulse to assert domestic control over digital competition exists in tension with the </w:t>
      </w:r>
      <w:r w:rsidR="00FB0AB0" w:rsidRPr="00E37F11">
        <w:rPr>
          <w:rFonts w:ascii="Garamond" w:hAnsi="Garamond" w:cs="Times New Roman"/>
          <w:sz w:val="25"/>
          <w:szCs w:val="25"/>
        </w:rPr>
        <w:t xml:space="preserve">countervailing </w:t>
      </w:r>
      <w:r w:rsidRPr="00E37F11">
        <w:rPr>
          <w:rFonts w:ascii="Garamond" w:hAnsi="Garamond" w:cs="Times New Roman"/>
          <w:sz w:val="25"/>
          <w:szCs w:val="25"/>
        </w:rPr>
        <w:t xml:space="preserve">trade welfare impulse </w:t>
      </w:r>
      <w:r w:rsidR="00FB0AB0" w:rsidRPr="00E37F11">
        <w:rPr>
          <w:rFonts w:ascii="Garamond" w:hAnsi="Garamond" w:cs="Times New Roman"/>
          <w:sz w:val="25"/>
          <w:szCs w:val="25"/>
        </w:rPr>
        <w:t xml:space="preserve">which </w:t>
      </w:r>
      <w:r w:rsidRPr="00E37F11">
        <w:rPr>
          <w:rFonts w:ascii="Garamond" w:hAnsi="Garamond" w:cs="Times New Roman"/>
          <w:sz w:val="25"/>
          <w:szCs w:val="25"/>
        </w:rPr>
        <w:t>underpin</w:t>
      </w:r>
      <w:r w:rsidR="00FB0AB0" w:rsidRPr="00E37F11">
        <w:rPr>
          <w:rFonts w:ascii="Garamond" w:hAnsi="Garamond" w:cs="Times New Roman"/>
          <w:sz w:val="25"/>
          <w:szCs w:val="25"/>
        </w:rPr>
        <w:t>s</w:t>
      </w:r>
      <w:r w:rsidRPr="00E37F11">
        <w:rPr>
          <w:rFonts w:ascii="Garamond" w:hAnsi="Garamond" w:cs="Times New Roman"/>
          <w:sz w:val="25"/>
          <w:szCs w:val="25"/>
        </w:rPr>
        <w:t xml:space="preserve"> international economic law. International economic law (IEL)</w:t>
      </w:r>
      <w:r w:rsidR="00FB0AB0" w:rsidRPr="00E37F11">
        <w:rPr>
          <w:rFonts w:ascii="Garamond" w:hAnsi="Garamond" w:cs="Times New Roman"/>
          <w:sz w:val="25"/>
          <w:szCs w:val="25"/>
        </w:rPr>
        <w:t xml:space="preserve">, </w:t>
      </w:r>
      <w:r w:rsidR="00C809D2" w:rsidRPr="00E37F11">
        <w:rPr>
          <w:rFonts w:ascii="Garamond" w:hAnsi="Garamond" w:cs="Times New Roman"/>
          <w:sz w:val="25"/>
          <w:szCs w:val="25"/>
        </w:rPr>
        <w:t>epitomized in</w:t>
      </w:r>
      <w:r w:rsidRPr="00E37F11">
        <w:rPr>
          <w:rFonts w:ascii="Garamond" w:hAnsi="Garamond" w:cs="Times New Roman"/>
          <w:sz w:val="25"/>
          <w:szCs w:val="25"/>
        </w:rPr>
        <w:t xml:space="preserve"> trade </w:t>
      </w:r>
      <w:r w:rsidR="00FB0AB0" w:rsidRPr="00E37F11">
        <w:rPr>
          <w:rFonts w:ascii="Garamond" w:hAnsi="Garamond" w:cs="Times New Roman"/>
          <w:sz w:val="25"/>
          <w:szCs w:val="25"/>
        </w:rPr>
        <w:t xml:space="preserve">and investment </w:t>
      </w:r>
      <w:r w:rsidR="00C809D2" w:rsidRPr="00E37F11">
        <w:rPr>
          <w:rFonts w:ascii="Garamond" w:hAnsi="Garamond" w:cs="Times New Roman"/>
          <w:sz w:val="25"/>
          <w:szCs w:val="25"/>
        </w:rPr>
        <w:t>agreements, emphasizes</w:t>
      </w:r>
      <w:r w:rsidRPr="00E37F11">
        <w:rPr>
          <w:rFonts w:ascii="Garamond" w:hAnsi="Garamond" w:cs="Times New Roman"/>
          <w:sz w:val="25"/>
          <w:szCs w:val="25"/>
        </w:rPr>
        <w:t xml:space="preserve"> open markets and non-discrimination to maximize trade-driven welfare, and it tends to view sweeping regulatory measures with caution. </w:t>
      </w:r>
      <w:r w:rsidR="00C809D2" w:rsidRPr="00E37F11">
        <w:rPr>
          <w:rFonts w:ascii="Garamond" w:hAnsi="Garamond" w:cs="Times New Roman"/>
          <w:sz w:val="25"/>
          <w:szCs w:val="25"/>
        </w:rPr>
        <w:t xml:space="preserve">This is because unilateral ex-ante regulation of </w:t>
      </w:r>
      <w:r w:rsidR="005A5568">
        <w:rPr>
          <w:rFonts w:ascii="Garamond" w:hAnsi="Garamond" w:cs="Times New Roman"/>
          <w:sz w:val="25"/>
          <w:szCs w:val="25"/>
        </w:rPr>
        <w:t xml:space="preserve">international </w:t>
      </w:r>
      <w:r w:rsidR="00C809D2" w:rsidRPr="00E37F11">
        <w:rPr>
          <w:rFonts w:ascii="Garamond" w:hAnsi="Garamond" w:cs="Times New Roman"/>
          <w:sz w:val="25"/>
          <w:szCs w:val="25"/>
        </w:rPr>
        <w:t xml:space="preserve">digital platforms allows domestic courts to exercise jurisdiction over them, </w:t>
      </w:r>
      <w:r w:rsidR="00C809D2" w:rsidRPr="00E37F11">
        <w:rPr>
          <w:rFonts w:ascii="Garamond" w:hAnsi="Garamond" w:cs="Times New Roman"/>
          <w:color w:val="000000" w:themeColor="text1"/>
          <w:sz w:val="25"/>
          <w:szCs w:val="25"/>
        </w:rPr>
        <w:t xml:space="preserve">fragmenting markets, creating regulatory asymmetries, and imposing trade-restrictive effects that extend beyond national borders. </w:t>
      </w:r>
      <w:r w:rsidRPr="00E37F11">
        <w:rPr>
          <w:rFonts w:ascii="Garamond" w:hAnsi="Garamond" w:cs="Times New Roman"/>
          <w:sz w:val="25"/>
          <w:szCs w:val="25"/>
        </w:rPr>
        <w:t>The emerging interface between digital competition law and IEL is therefore fraught with friction: what competition authorities hail as prudent market oversight can be perceived by trading partners as protectionist encroachment. Indeed, some states are already framing these new digital competition obligations as non-tariff barriers (NTBs) to trade. For example, the United States has voiced concerns that the DMA’s restrictive provisions unfairly target foreign (</w:t>
      </w:r>
      <w:r w:rsidR="00C809D2" w:rsidRPr="00E37F11">
        <w:rPr>
          <w:rFonts w:ascii="Garamond" w:hAnsi="Garamond" w:cs="Times New Roman"/>
          <w:sz w:val="25"/>
          <w:szCs w:val="25"/>
        </w:rPr>
        <w:t>particularly</w:t>
      </w:r>
      <w:r w:rsidRPr="00E37F11">
        <w:rPr>
          <w:rFonts w:ascii="Garamond" w:hAnsi="Garamond" w:cs="Times New Roman"/>
          <w:sz w:val="25"/>
          <w:szCs w:val="25"/>
        </w:rPr>
        <w:t xml:space="preserve"> U.S.) firms, potentially making it a “disguised” trade barrier rather than a neutral competition tool. This encapsulates the </w:t>
      </w:r>
      <w:r w:rsidRPr="00E37F11">
        <w:rPr>
          <w:rFonts w:ascii="Garamond" w:hAnsi="Garamond" w:cs="Times New Roman"/>
          <w:i/>
          <w:iCs/>
          <w:sz w:val="25"/>
          <w:szCs w:val="25"/>
        </w:rPr>
        <w:t>core issue</w:t>
      </w:r>
      <w:r w:rsidRPr="00E37F11">
        <w:rPr>
          <w:rFonts w:ascii="Garamond" w:hAnsi="Garamond" w:cs="Times New Roman"/>
          <w:sz w:val="25"/>
          <w:szCs w:val="25"/>
        </w:rPr>
        <w:t>: the push to regulate digital markets for legitimate domestic objectives may collide with commitments under IEL, such as the World Trade Organization (WTO) principles, creating a need to carefully navigate between regulatory sovereignty and trade obligations.</w:t>
      </w:r>
    </w:p>
    <w:p w14:paraId="04656939" w14:textId="1177EA30" w:rsidR="00FB0AB0" w:rsidRPr="00E37F11" w:rsidRDefault="000A166D"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 xml:space="preserve">This research is significant because it addresses a timely and growing tension at the heart of </w:t>
      </w:r>
      <w:r w:rsidR="005A5568">
        <w:rPr>
          <w:rFonts w:ascii="Garamond" w:hAnsi="Garamond" w:cs="Times New Roman"/>
          <w:sz w:val="25"/>
          <w:szCs w:val="25"/>
        </w:rPr>
        <w:t xml:space="preserve">international </w:t>
      </w:r>
      <w:r w:rsidRPr="00E37F11">
        <w:rPr>
          <w:rFonts w:ascii="Garamond" w:hAnsi="Garamond" w:cs="Times New Roman"/>
          <w:sz w:val="25"/>
          <w:szCs w:val="25"/>
        </w:rPr>
        <w:t>economic governance. One concern</w:t>
      </w:r>
      <w:r w:rsidR="00F77FC7" w:rsidRPr="00E37F11">
        <w:rPr>
          <w:rFonts w:ascii="Garamond" w:hAnsi="Garamond" w:cs="Times New Roman"/>
          <w:sz w:val="25"/>
          <w:szCs w:val="25"/>
        </w:rPr>
        <w:t>, for instance,</w:t>
      </w:r>
      <w:r w:rsidRPr="00E37F11">
        <w:rPr>
          <w:rFonts w:ascii="Garamond" w:hAnsi="Garamond" w:cs="Times New Roman"/>
          <w:sz w:val="25"/>
          <w:szCs w:val="25"/>
        </w:rPr>
        <w:t xml:space="preserve"> is the principle of non-discrimination. IEL (for instance, the General Agreement on Trade in Services</w:t>
      </w:r>
      <w:r w:rsidR="00F77FC7" w:rsidRPr="00E37F11">
        <w:rPr>
          <w:rFonts w:ascii="Garamond" w:hAnsi="Garamond" w:cs="Times New Roman"/>
          <w:sz w:val="25"/>
          <w:szCs w:val="25"/>
        </w:rPr>
        <w:t xml:space="preserve"> clause on Most-Favored-Nation or MFN)</w:t>
      </w:r>
      <w:r w:rsidRPr="00E37F11">
        <w:rPr>
          <w:rFonts w:ascii="Garamond" w:hAnsi="Garamond" w:cs="Times New Roman"/>
          <w:sz w:val="25"/>
          <w:szCs w:val="25"/>
        </w:rPr>
        <w:t xml:space="preserve"> obligates countries to </w:t>
      </w:r>
      <w:r w:rsidR="00F77FC7" w:rsidRPr="00E37F11">
        <w:rPr>
          <w:rFonts w:ascii="Garamond" w:hAnsi="Garamond" w:cs="Times New Roman"/>
          <w:sz w:val="25"/>
          <w:szCs w:val="25"/>
        </w:rPr>
        <w:t xml:space="preserve">ensure </w:t>
      </w:r>
      <w:r w:rsidRPr="00E37F11">
        <w:rPr>
          <w:rFonts w:ascii="Garamond" w:hAnsi="Garamond" w:cs="Times New Roman"/>
          <w:sz w:val="25"/>
          <w:szCs w:val="25"/>
        </w:rPr>
        <w:t>no less favorable treatment than that given to any other country’s or one’s own like services. Yet many digital competition laws, while written in ostensibly neutral terms, have disproportionate impacts on foreign tech giants. For instance, the DMA’s criteria for “gatekeeper” designation (high global revenue, large EU user base) have so far been met almost exclusively by U.S-based firms, with few if any EU-headquartered companies in scope. This raises the specter of de facto discrimination: even if the rules are impartial</w:t>
      </w:r>
      <w:r w:rsidR="00DA159A" w:rsidRPr="00E37F11">
        <w:rPr>
          <w:rFonts w:ascii="Garamond" w:hAnsi="Garamond" w:cs="Times New Roman"/>
          <w:sz w:val="25"/>
          <w:szCs w:val="25"/>
        </w:rPr>
        <w:t xml:space="preserve"> on the face of it</w:t>
      </w:r>
      <w:r w:rsidRPr="00E37F11">
        <w:rPr>
          <w:rFonts w:ascii="Garamond" w:hAnsi="Garamond" w:cs="Times New Roman"/>
          <w:sz w:val="25"/>
          <w:szCs w:val="25"/>
        </w:rPr>
        <w:t xml:space="preserve">, their effect is to single out firms for heavy regulatory burdens. Such outcomes can be interpreted as violations of WTO non-discrimination obligations, </w:t>
      </w:r>
      <w:r w:rsidR="00F77FC7" w:rsidRPr="00E37F11">
        <w:rPr>
          <w:rFonts w:ascii="Garamond" w:hAnsi="Garamond" w:cs="Times New Roman"/>
          <w:sz w:val="25"/>
          <w:szCs w:val="25"/>
        </w:rPr>
        <w:t xml:space="preserve">with some </w:t>
      </w:r>
      <w:r w:rsidRPr="00E37F11">
        <w:rPr>
          <w:rFonts w:ascii="Garamond" w:hAnsi="Garamond" w:cs="Times New Roman"/>
          <w:sz w:val="25"/>
          <w:szCs w:val="25"/>
        </w:rPr>
        <w:t>argu</w:t>
      </w:r>
      <w:r w:rsidR="00F77FC7" w:rsidRPr="00E37F11">
        <w:rPr>
          <w:rFonts w:ascii="Garamond" w:hAnsi="Garamond" w:cs="Times New Roman"/>
          <w:sz w:val="25"/>
          <w:szCs w:val="25"/>
        </w:rPr>
        <w:t>ing</w:t>
      </w:r>
      <w:r w:rsidRPr="00E37F11">
        <w:rPr>
          <w:rFonts w:ascii="Garamond" w:hAnsi="Garamond" w:cs="Times New Roman"/>
          <w:sz w:val="25"/>
          <w:szCs w:val="25"/>
        </w:rPr>
        <w:t xml:space="preserve"> that applying uniform thresholds which catch only foreign players “modifies conditions of competition” to the detriment of those foreign firms, favoring domestic rivals. Moreover, MFN treatment concerns come into play when firms from certain countries bear the brunt of these regulations while “like” services from other countries escape. For example, if a U.S. platform is </w:t>
      </w:r>
      <w:r w:rsidRPr="00E37F11">
        <w:rPr>
          <w:rFonts w:ascii="Garamond" w:hAnsi="Garamond" w:cs="Times New Roman"/>
          <w:sz w:val="25"/>
          <w:szCs w:val="25"/>
        </w:rPr>
        <w:lastRenderedPageBreak/>
        <w:t>designated a gatekeeper but a similarly situated competitor from another country is not</w:t>
      </w:r>
      <w:r w:rsidR="00144E54" w:rsidRPr="00E37F11">
        <w:rPr>
          <w:rFonts w:ascii="Garamond" w:hAnsi="Garamond" w:cs="Times New Roman"/>
          <w:sz w:val="25"/>
          <w:szCs w:val="25"/>
        </w:rPr>
        <w:t xml:space="preserve"> because it falls just shy of the threshold</w:t>
      </w:r>
      <w:r w:rsidRPr="00E37F11">
        <w:rPr>
          <w:rFonts w:ascii="Garamond" w:hAnsi="Garamond" w:cs="Times New Roman"/>
          <w:sz w:val="25"/>
          <w:szCs w:val="25"/>
        </w:rPr>
        <w:t>, this could be seen as according less favorable treatment to one WTO member’s service over another’s. The fact that regulatory obligations designed to curb Big Tech’s market power are being cast as NTBs and potential trade agreement violations underscores the high stakes of this interface. Unaddressed, these tensions could lead to international trade disputes, undermine the effectiveness of digital competition rules or prompt retaliatory measures that fragment the digital economy. Therefore, a sharper examination of this trade</w:t>
      </w:r>
      <w:r w:rsidR="00144E54" w:rsidRPr="00E37F11">
        <w:rPr>
          <w:rFonts w:ascii="Garamond" w:hAnsi="Garamond" w:cs="Times New Roman"/>
          <w:sz w:val="25"/>
          <w:szCs w:val="25"/>
        </w:rPr>
        <w:t>-</w:t>
      </w:r>
      <w:r w:rsidRPr="00E37F11">
        <w:rPr>
          <w:rFonts w:ascii="Garamond" w:hAnsi="Garamond" w:cs="Times New Roman"/>
          <w:sz w:val="25"/>
          <w:szCs w:val="25"/>
        </w:rPr>
        <w:t xml:space="preserve">competition nexus is both academically novel and practically urgent. </w:t>
      </w:r>
      <w:r w:rsidR="00144E54" w:rsidRPr="00E37F11">
        <w:rPr>
          <w:rFonts w:ascii="Garamond" w:hAnsi="Garamond" w:cs="Times New Roman"/>
          <w:sz w:val="25"/>
          <w:szCs w:val="25"/>
        </w:rPr>
        <w:t>By doing this</w:t>
      </w:r>
      <w:r w:rsidRPr="00E37F11">
        <w:rPr>
          <w:rFonts w:ascii="Garamond" w:hAnsi="Garamond" w:cs="Times New Roman"/>
          <w:sz w:val="25"/>
          <w:szCs w:val="25"/>
        </w:rPr>
        <w:t>,</w:t>
      </w:r>
      <w:r w:rsidR="00144E54" w:rsidRPr="00E37F11">
        <w:rPr>
          <w:rFonts w:ascii="Garamond" w:hAnsi="Garamond" w:cs="Times New Roman"/>
          <w:sz w:val="25"/>
          <w:szCs w:val="25"/>
        </w:rPr>
        <w:t xml:space="preserve"> Vol</w:t>
      </w:r>
      <w:r w:rsidR="00332C51" w:rsidRPr="00E37F11">
        <w:rPr>
          <w:rFonts w:ascii="Garamond" w:hAnsi="Garamond" w:cs="Times New Roman"/>
          <w:sz w:val="25"/>
          <w:szCs w:val="25"/>
        </w:rPr>
        <w:t>ume</w:t>
      </w:r>
      <w:r w:rsidR="00144E54" w:rsidRPr="00E37F11">
        <w:rPr>
          <w:rFonts w:ascii="Garamond" w:hAnsi="Garamond" w:cs="Times New Roman"/>
          <w:sz w:val="25"/>
          <w:szCs w:val="25"/>
        </w:rPr>
        <w:t xml:space="preserve"> 17(2)</w:t>
      </w:r>
      <w:r w:rsidRPr="00E37F11">
        <w:rPr>
          <w:rFonts w:ascii="Garamond" w:hAnsi="Garamond" w:cs="Times New Roman"/>
          <w:sz w:val="25"/>
          <w:szCs w:val="25"/>
        </w:rPr>
        <w:t xml:space="preserve"> seeks to contribute to a</w:t>
      </w:r>
      <w:r w:rsidR="00144E54" w:rsidRPr="00E37F11">
        <w:rPr>
          <w:rFonts w:ascii="Garamond" w:hAnsi="Garamond" w:cs="Times New Roman"/>
          <w:sz w:val="25"/>
          <w:szCs w:val="25"/>
        </w:rPr>
        <w:t xml:space="preserve"> growing body of scholarship aimed at interrogating and exploring </w:t>
      </w:r>
      <w:r w:rsidRPr="00E37F11">
        <w:rPr>
          <w:rFonts w:ascii="Garamond" w:hAnsi="Garamond" w:cs="Times New Roman"/>
          <w:sz w:val="25"/>
          <w:szCs w:val="25"/>
        </w:rPr>
        <w:t>more coherent approach</w:t>
      </w:r>
      <w:r w:rsidR="00144E54" w:rsidRPr="00E37F11">
        <w:rPr>
          <w:rFonts w:ascii="Garamond" w:hAnsi="Garamond" w:cs="Times New Roman"/>
          <w:sz w:val="25"/>
          <w:szCs w:val="25"/>
        </w:rPr>
        <w:t>es</w:t>
      </w:r>
      <w:r w:rsidRPr="00E37F11">
        <w:rPr>
          <w:rFonts w:ascii="Garamond" w:hAnsi="Garamond" w:cs="Times New Roman"/>
          <w:sz w:val="25"/>
          <w:szCs w:val="25"/>
        </w:rPr>
        <w:t xml:space="preserve"> </w:t>
      </w:r>
      <w:r w:rsidR="00144E54" w:rsidRPr="00E37F11">
        <w:rPr>
          <w:rFonts w:ascii="Garamond" w:hAnsi="Garamond" w:cs="Times New Roman"/>
          <w:sz w:val="25"/>
          <w:szCs w:val="25"/>
        </w:rPr>
        <w:t>which</w:t>
      </w:r>
      <w:r w:rsidRPr="00E37F11">
        <w:rPr>
          <w:rFonts w:ascii="Garamond" w:hAnsi="Garamond" w:cs="Times New Roman"/>
          <w:sz w:val="25"/>
          <w:szCs w:val="25"/>
        </w:rPr>
        <w:t xml:space="preserve"> reconcile domestic regulatory autonomy with international economic law obligations</w:t>
      </w:r>
      <w:r w:rsidR="00144E54" w:rsidRPr="00E37F11">
        <w:rPr>
          <w:rFonts w:ascii="Garamond" w:hAnsi="Garamond" w:cs="Times New Roman"/>
          <w:sz w:val="25"/>
          <w:szCs w:val="25"/>
        </w:rPr>
        <w:t xml:space="preserve">. </w:t>
      </w:r>
    </w:p>
    <w:p w14:paraId="78D0EC5E" w14:textId="7DAB6BD9" w:rsidR="00FB0AB0" w:rsidRPr="00E37F11" w:rsidRDefault="00000000" w:rsidP="00FB0AB0">
      <w:pPr>
        <w:pStyle w:val="BodyText"/>
        <w:spacing w:line="276" w:lineRule="auto"/>
        <w:jc w:val="center"/>
        <w:rPr>
          <w:rFonts w:ascii="Garamond" w:hAnsi="Garamond" w:cs="Times New Roman"/>
          <w:sz w:val="25"/>
          <w:szCs w:val="25"/>
        </w:rPr>
      </w:pPr>
      <w:r w:rsidRPr="00E37F11">
        <w:rPr>
          <w:rFonts w:ascii="Garamond" w:hAnsi="Garamond" w:cs="Times New Roman"/>
          <w:b/>
          <w:bCs/>
          <w:sz w:val="25"/>
          <w:szCs w:val="25"/>
        </w:rPr>
        <w:t xml:space="preserve">Indicative </w:t>
      </w:r>
      <w:r w:rsidR="00FB0AB0" w:rsidRPr="00E37F11">
        <w:rPr>
          <w:rFonts w:ascii="Garamond" w:hAnsi="Garamond" w:cs="Times New Roman"/>
          <w:b/>
          <w:bCs/>
          <w:sz w:val="25"/>
          <w:szCs w:val="25"/>
        </w:rPr>
        <w:t>Themes</w:t>
      </w:r>
    </w:p>
    <w:p w14:paraId="0E53EE40" w14:textId="57D33384" w:rsidR="004B2596" w:rsidRPr="00E37F11" w:rsidRDefault="00000000" w:rsidP="003E664D">
      <w:pPr>
        <w:pStyle w:val="BodyText"/>
        <w:spacing w:line="276" w:lineRule="auto"/>
        <w:jc w:val="both"/>
        <w:rPr>
          <w:rFonts w:ascii="Garamond" w:hAnsi="Garamond" w:cs="Times New Roman"/>
          <w:b/>
          <w:bCs/>
          <w:sz w:val="25"/>
          <w:szCs w:val="25"/>
        </w:rPr>
      </w:pPr>
      <w:r w:rsidRPr="00E37F11">
        <w:rPr>
          <w:rFonts w:ascii="Garamond" w:hAnsi="Garamond" w:cs="Times New Roman"/>
          <w:sz w:val="25"/>
          <w:szCs w:val="25"/>
        </w:rPr>
        <w:t xml:space="preserve">(A) Ex-ante Competition Regimes in a Global Context: Examining the emergence of </w:t>
      </w:r>
      <w:r w:rsidRPr="00E37F11">
        <w:rPr>
          <w:rFonts w:ascii="Garamond" w:hAnsi="Garamond" w:cs="Times New Roman"/>
          <w:i/>
          <w:iCs/>
          <w:sz w:val="25"/>
          <w:szCs w:val="25"/>
        </w:rPr>
        <w:t>ex-ante</w:t>
      </w:r>
      <w:r w:rsidRPr="00E37F11">
        <w:rPr>
          <w:rFonts w:ascii="Garamond" w:hAnsi="Garamond" w:cs="Times New Roman"/>
          <w:sz w:val="25"/>
          <w:szCs w:val="25"/>
        </w:rPr>
        <w:t xml:space="preserve"> competition laws for digital markets (such as the EU’s Digital Markets Act and similar initiatives) and their implications for </w:t>
      </w:r>
      <w:r w:rsidR="005A5568">
        <w:rPr>
          <w:rFonts w:ascii="Garamond" w:hAnsi="Garamond" w:cs="Times New Roman"/>
          <w:sz w:val="25"/>
          <w:szCs w:val="25"/>
        </w:rPr>
        <w:t xml:space="preserve">international </w:t>
      </w:r>
      <w:r w:rsidRPr="00E37F11">
        <w:rPr>
          <w:rFonts w:ascii="Garamond" w:hAnsi="Garamond" w:cs="Times New Roman"/>
          <w:sz w:val="25"/>
          <w:szCs w:val="25"/>
        </w:rPr>
        <w:t xml:space="preserve">trade norms. This includes exploring how the shift toward preventive regulation interacts with international economic law frameworks that have traditionally been based on </w:t>
      </w:r>
      <w:r w:rsidRPr="00E37F11">
        <w:rPr>
          <w:rFonts w:ascii="Garamond" w:hAnsi="Garamond" w:cs="Times New Roman"/>
          <w:i/>
          <w:iCs/>
          <w:sz w:val="25"/>
          <w:szCs w:val="25"/>
        </w:rPr>
        <w:t>ex post</w:t>
      </w:r>
      <w:r w:rsidRPr="00E37F11">
        <w:rPr>
          <w:rFonts w:ascii="Garamond" w:hAnsi="Garamond" w:cs="Times New Roman"/>
          <w:sz w:val="25"/>
          <w:szCs w:val="25"/>
        </w:rPr>
        <w:t xml:space="preserve"> enforcement.</w:t>
      </w:r>
    </w:p>
    <w:p w14:paraId="44E7CA8B" w14:textId="01910B98" w:rsidR="004B2596" w:rsidRPr="00E37F11" w:rsidRDefault="00000000"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 xml:space="preserve">(B) Digital </w:t>
      </w:r>
      <w:r w:rsidR="00DC67FE" w:rsidRPr="00E37F11">
        <w:rPr>
          <w:rFonts w:ascii="Garamond" w:hAnsi="Garamond" w:cs="Times New Roman"/>
          <w:sz w:val="25"/>
          <w:szCs w:val="25"/>
        </w:rPr>
        <w:t xml:space="preserve">Competition </w:t>
      </w:r>
      <w:r w:rsidRPr="00E37F11">
        <w:rPr>
          <w:rFonts w:ascii="Garamond" w:hAnsi="Garamond" w:cs="Times New Roman"/>
          <w:sz w:val="25"/>
          <w:szCs w:val="25"/>
        </w:rPr>
        <w:t>Regulation and Non-Tariff Barriers: Investigating the fine line between legitimate domestic regulation of digital markets and measures that may constitute non-tariff barriers to trade. Analyses could address how trade agreements and the WTO discipline such regulations, and how governments can pursue competition objectives without imposing unjustifiable restrictions on foreign businesses.</w:t>
      </w:r>
      <w:r w:rsidR="00FA0CC7" w:rsidRPr="00E37F11">
        <w:rPr>
          <w:rFonts w:ascii="Garamond" w:hAnsi="Garamond" w:cs="Times New Roman"/>
          <w:sz w:val="25"/>
          <w:szCs w:val="25"/>
        </w:rPr>
        <w:t xml:space="preserve"> Informal and non-institutional mechanisms may also be </w:t>
      </w:r>
      <w:r w:rsidR="00AC05B6" w:rsidRPr="00E37F11">
        <w:rPr>
          <w:rFonts w:ascii="Garamond" w:hAnsi="Garamond" w:cs="Times New Roman"/>
          <w:sz w:val="25"/>
          <w:szCs w:val="25"/>
        </w:rPr>
        <w:t>analyzed</w:t>
      </w:r>
      <w:r w:rsidR="00FA0CC7" w:rsidRPr="00E37F11">
        <w:rPr>
          <w:rFonts w:ascii="Garamond" w:hAnsi="Garamond" w:cs="Times New Roman"/>
          <w:sz w:val="25"/>
          <w:szCs w:val="25"/>
        </w:rPr>
        <w:t xml:space="preserve">. </w:t>
      </w:r>
    </w:p>
    <w:p w14:paraId="0B52004E" w14:textId="332A9C2C" w:rsidR="004B2596" w:rsidRPr="00E37F11" w:rsidRDefault="00000000"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 xml:space="preserve">(C) Non-Discrimination (MFN and National Treatment): Assessing whether digital competition rules, often applied to a handful of dominant firms, raise concerns under </w:t>
      </w:r>
      <w:r w:rsidR="00AC05B6" w:rsidRPr="00E37F11">
        <w:rPr>
          <w:rFonts w:ascii="Garamond" w:hAnsi="Garamond" w:cs="Times New Roman"/>
          <w:sz w:val="25"/>
          <w:szCs w:val="25"/>
        </w:rPr>
        <w:t>M</w:t>
      </w:r>
      <w:r w:rsidRPr="00E37F11">
        <w:rPr>
          <w:rFonts w:ascii="Garamond" w:hAnsi="Garamond" w:cs="Times New Roman"/>
          <w:sz w:val="25"/>
          <w:szCs w:val="25"/>
        </w:rPr>
        <w:t>ost-</w:t>
      </w:r>
      <w:proofErr w:type="spellStart"/>
      <w:r w:rsidR="00AC05B6" w:rsidRPr="00E37F11">
        <w:rPr>
          <w:rFonts w:ascii="Garamond" w:hAnsi="Garamond" w:cs="Times New Roman"/>
          <w:sz w:val="25"/>
          <w:szCs w:val="25"/>
        </w:rPr>
        <w:t>F</w:t>
      </w:r>
      <w:r w:rsidRPr="00E37F11">
        <w:rPr>
          <w:rFonts w:ascii="Garamond" w:hAnsi="Garamond" w:cs="Times New Roman"/>
          <w:sz w:val="25"/>
          <w:szCs w:val="25"/>
        </w:rPr>
        <w:t>avoured</w:t>
      </w:r>
      <w:proofErr w:type="spellEnd"/>
      <w:r w:rsidRPr="00E37F11">
        <w:rPr>
          <w:rFonts w:ascii="Garamond" w:hAnsi="Garamond" w:cs="Times New Roman"/>
          <w:sz w:val="25"/>
          <w:szCs w:val="25"/>
        </w:rPr>
        <w:t>-</w:t>
      </w:r>
      <w:r w:rsidR="00AC05B6" w:rsidRPr="00E37F11">
        <w:rPr>
          <w:rFonts w:ascii="Garamond" w:hAnsi="Garamond" w:cs="Times New Roman"/>
          <w:sz w:val="25"/>
          <w:szCs w:val="25"/>
        </w:rPr>
        <w:t>N</w:t>
      </w:r>
      <w:r w:rsidRPr="00E37F11">
        <w:rPr>
          <w:rFonts w:ascii="Garamond" w:hAnsi="Garamond" w:cs="Times New Roman"/>
          <w:sz w:val="25"/>
          <w:szCs w:val="25"/>
        </w:rPr>
        <w:t xml:space="preserve">ation or national treatment obligations. This inquiry could examine instances of de facto discrimination in digital markets and evaluate the scope for </w:t>
      </w:r>
      <w:r w:rsidR="00AC05B6" w:rsidRPr="00E37F11">
        <w:rPr>
          <w:rFonts w:ascii="Garamond" w:hAnsi="Garamond" w:cs="Times New Roman"/>
          <w:sz w:val="25"/>
          <w:szCs w:val="25"/>
        </w:rPr>
        <w:t xml:space="preserve">reconciling these measures under general exceptions (for instance, public policy) or reimagining them. </w:t>
      </w:r>
    </w:p>
    <w:p w14:paraId="63E26097" w14:textId="5C6C3946" w:rsidR="004B2596" w:rsidRPr="00E37F11" w:rsidRDefault="00000000"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(D) International Harmonization and Cooperation: Exploring avenues for coordinating digital competition regulations across jurisdictions to minimize conflicts and uncertainty. Topics may include the inclusion of competition provisions in digital trade agreements, the role of international organizations in setting best practices, or proposals for new frameworks to govern platform-centric digital markets.</w:t>
      </w:r>
    </w:p>
    <w:p w14:paraId="7EA059CB" w14:textId="3C38B2EA" w:rsidR="004B2596" w:rsidRPr="00E37F11" w:rsidRDefault="00000000"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(E) Perspectives of Developing Economies: Examining the challenges and priorities of developing countries in the era of digital platform regulation. This could involve analysis of capacity constraints in implementing new competition rules,</w:t>
      </w:r>
      <w:r w:rsidR="000B443B" w:rsidRPr="00E37F11">
        <w:rPr>
          <w:rFonts w:ascii="Garamond" w:hAnsi="Garamond" w:cs="Times New Roman"/>
          <w:sz w:val="25"/>
          <w:szCs w:val="25"/>
        </w:rPr>
        <w:t xml:space="preserve"> detriments (or benefits) of lax competition </w:t>
      </w:r>
      <w:r w:rsidR="000B443B" w:rsidRPr="00E37F11">
        <w:rPr>
          <w:rFonts w:ascii="Garamond" w:hAnsi="Garamond" w:cs="Times New Roman"/>
          <w:sz w:val="25"/>
          <w:szCs w:val="25"/>
        </w:rPr>
        <w:lastRenderedPageBreak/>
        <w:t>regulations to encourage foreign trade and investment,</w:t>
      </w:r>
      <w:r w:rsidRPr="00E37F11">
        <w:rPr>
          <w:rFonts w:ascii="Garamond" w:hAnsi="Garamond" w:cs="Times New Roman"/>
          <w:sz w:val="25"/>
          <w:szCs w:val="25"/>
        </w:rPr>
        <w:t xml:space="preserve"> the impact of major economies’ regulatory initiatives on smaller markets, and strategies for ensuring that </w:t>
      </w:r>
      <w:r w:rsidR="005A5568">
        <w:rPr>
          <w:rFonts w:ascii="Garamond" w:hAnsi="Garamond" w:cs="Times New Roman"/>
          <w:sz w:val="25"/>
          <w:szCs w:val="25"/>
        </w:rPr>
        <w:t xml:space="preserve">international </w:t>
      </w:r>
      <w:r w:rsidRPr="00E37F11">
        <w:rPr>
          <w:rFonts w:ascii="Garamond" w:hAnsi="Garamond" w:cs="Times New Roman"/>
          <w:sz w:val="25"/>
          <w:szCs w:val="25"/>
        </w:rPr>
        <w:t>digital trade rules accommodate diverse developmental needs.</w:t>
      </w:r>
    </w:p>
    <w:p w14:paraId="68A1B1E3" w14:textId="682C1AA1" w:rsidR="004B2596" w:rsidRPr="00E37F11" w:rsidRDefault="00332C51" w:rsidP="003E664D">
      <w:pPr>
        <w:pStyle w:val="BodyText"/>
        <w:spacing w:line="276" w:lineRule="auto"/>
        <w:jc w:val="both"/>
        <w:rPr>
          <w:rFonts w:ascii="Garamond" w:hAnsi="Garamond" w:cs="Times New Roman"/>
          <w:sz w:val="25"/>
          <w:szCs w:val="25"/>
        </w:rPr>
      </w:pPr>
      <w:r w:rsidRPr="00E37F11">
        <w:rPr>
          <w:rFonts w:ascii="Garamond" w:hAnsi="Garamond" w:cs="Times New Roman"/>
          <w:sz w:val="25"/>
          <w:szCs w:val="25"/>
        </w:rPr>
        <w:t xml:space="preserve">Special </w:t>
      </w:r>
      <w:r w:rsidR="00FB0AB0" w:rsidRPr="00E37F11">
        <w:rPr>
          <w:rFonts w:ascii="Garamond" w:hAnsi="Garamond" w:cs="Times New Roman"/>
          <w:sz w:val="25"/>
          <w:szCs w:val="25"/>
        </w:rPr>
        <w:t>i</w:t>
      </w:r>
      <w:r w:rsidRPr="00E37F11">
        <w:rPr>
          <w:rFonts w:ascii="Garamond" w:hAnsi="Garamond" w:cs="Times New Roman"/>
          <w:sz w:val="25"/>
          <w:szCs w:val="25"/>
        </w:rPr>
        <w:t xml:space="preserve">ssue Volume 17(2) will include both invited and submitted contributions. We invite scholars, practitioners, and policymakers to submit </w:t>
      </w:r>
      <w:r w:rsidR="00FB0AB0" w:rsidRPr="00E37F11">
        <w:rPr>
          <w:rFonts w:ascii="Garamond" w:hAnsi="Garamond" w:cs="Times New Roman"/>
          <w:sz w:val="25"/>
          <w:szCs w:val="25"/>
        </w:rPr>
        <w:t>work</w:t>
      </w:r>
      <w:r w:rsidRPr="00E37F11">
        <w:rPr>
          <w:rFonts w:ascii="Garamond" w:hAnsi="Garamond" w:cs="Times New Roman"/>
          <w:sz w:val="25"/>
          <w:szCs w:val="25"/>
        </w:rPr>
        <w:t xml:space="preserve"> that offers rigorous analysis on the interplay between digital competition policy and international economic law. Comparative and interdisciplinary perspectives are especially welcome. Through this issue, we hope to enrich the understanding of how to achieve pro-competitive digital markets within a fair and inclusive </w:t>
      </w:r>
      <w:r w:rsidR="005A5568">
        <w:rPr>
          <w:rFonts w:ascii="Garamond" w:hAnsi="Garamond" w:cs="Times New Roman"/>
          <w:sz w:val="25"/>
          <w:szCs w:val="25"/>
        </w:rPr>
        <w:t xml:space="preserve">international </w:t>
      </w:r>
      <w:r w:rsidRPr="00E37F11">
        <w:rPr>
          <w:rFonts w:ascii="Garamond" w:hAnsi="Garamond" w:cs="Times New Roman"/>
          <w:sz w:val="25"/>
          <w:szCs w:val="25"/>
        </w:rPr>
        <w:t>economic order.</w:t>
      </w:r>
    </w:p>
    <w:p w14:paraId="5D3799FE" w14:textId="77777777" w:rsidR="00FB0AB0" w:rsidRPr="00E37F11" w:rsidRDefault="00FB0AB0" w:rsidP="003E664D">
      <w:pPr>
        <w:pStyle w:val="BodyText"/>
        <w:spacing w:line="276" w:lineRule="auto"/>
        <w:jc w:val="both"/>
        <w:rPr>
          <w:rFonts w:ascii="Garamond" w:hAnsi="Garamond" w:cs="Times New Roman"/>
          <w:b/>
          <w:bCs/>
          <w:sz w:val="25"/>
          <w:szCs w:val="25"/>
          <w:lang w:val="en-IN"/>
        </w:rPr>
      </w:pPr>
    </w:p>
    <w:p w14:paraId="709D2B33" w14:textId="34F60557" w:rsidR="000A166D" w:rsidRPr="00E37F11" w:rsidRDefault="000A166D" w:rsidP="00FB0AB0">
      <w:pPr>
        <w:pStyle w:val="BodyText"/>
        <w:spacing w:line="276" w:lineRule="auto"/>
        <w:jc w:val="center"/>
        <w:rPr>
          <w:rFonts w:ascii="Garamond" w:hAnsi="Garamond" w:cs="Times New Roman"/>
          <w:b/>
          <w:bCs/>
          <w:sz w:val="25"/>
          <w:szCs w:val="25"/>
          <w:lang w:val="en-IN"/>
        </w:rPr>
      </w:pPr>
      <w:r w:rsidRPr="00E37F11">
        <w:rPr>
          <w:rFonts w:ascii="Garamond" w:hAnsi="Garamond" w:cs="Times New Roman"/>
          <w:b/>
          <w:bCs/>
          <w:sz w:val="25"/>
          <w:szCs w:val="25"/>
          <w:lang w:val="en-IN"/>
        </w:rPr>
        <w:t>Submission Guidelines</w:t>
      </w:r>
    </w:p>
    <w:p w14:paraId="588F4082" w14:textId="6B321555" w:rsidR="000A166D" w:rsidRPr="00E37F11" w:rsidRDefault="000A166D" w:rsidP="00E37F11">
      <w:pPr>
        <w:pStyle w:val="BodyText"/>
        <w:spacing w:after="0" w:line="276" w:lineRule="auto"/>
        <w:jc w:val="both"/>
        <w:rPr>
          <w:rFonts w:ascii="Garamond" w:hAnsi="Garamond" w:cs="Times New Roman"/>
          <w:sz w:val="25"/>
          <w:szCs w:val="25"/>
          <w:lang w:val="en-IN"/>
        </w:rPr>
      </w:pPr>
      <w:r w:rsidRPr="00E37F11">
        <w:rPr>
          <w:rFonts w:ascii="Garamond" w:hAnsi="Garamond" w:cs="Times New Roman"/>
          <w:sz w:val="25"/>
          <w:szCs w:val="25"/>
          <w:lang w:val="en-IN"/>
        </w:rPr>
        <w:t>Submissions must conform to the journal’s standard guidelines. We accept the following categories of manuscripts:</w:t>
      </w:r>
    </w:p>
    <w:p w14:paraId="0AAA942C" w14:textId="7AD63702" w:rsidR="000A166D" w:rsidRPr="00E37F11" w:rsidRDefault="000A166D" w:rsidP="00E37F11">
      <w:pPr>
        <w:pStyle w:val="BodyText"/>
        <w:numPr>
          <w:ilvl w:val="0"/>
          <w:numId w:val="2"/>
        </w:numPr>
        <w:spacing w:before="0" w:line="276" w:lineRule="auto"/>
        <w:jc w:val="both"/>
        <w:rPr>
          <w:rFonts w:ascii="Garamond" w:hAnsi="Garamond" w:cs="Times New Roman"/>
          <w:sz w:val="25"/>
          <w:szCs w:val="25"/>
          <w:lang w:val="en-IN"/>
        </w:rPr>
      </w:pPr>
      <w:r w:rsidRPr="00E37F11">
        <w:rPr>
          <w:rFonts w:ascii="Garamond" w:hAnsi="Garamond" w:cs="Times New Roman"/>
          <w:b/>
          <w:bCs/>
          <w:sz w:val="25"/>
          <w:szCs w:val="25"/>
          <w:lang w:val="en-IN"/>
        </w:rPr>
        <w:t xml:space="preserve">Articles (6,000–10,000 words </w:t>
      </w:r>
      <w:r w:rsidR="00332C51" w:rsidRPr="00E37F11">
        <w:rPr>
          <w:rFonts w:ascii="Garamond" w:hAnsi="Garamond" w:cs="Times New Roman"/>
          <w:b/>
          <w:bCs/>
          <w:sz w:val="25"/>
          <w:szCs w:val="25"/>
          <w:lang w:val="en-IN"/>
        </w:rPr>
        <w:t>exclu</w:t>
      </w:r>
      <w:r w:rsidR="00E6365E" w:rsidRPr="00E37F11">
        <w:rPr>
          <w:rFonts w:ascii="Garamond" w:hAnsi="Garamond" w:cs="Times New Roman"/>
          <w:b/>
          <w:bCs/>
          <w:sz w:val="25"/>
          <w:szCs w:val="25"/>
          <w:lang w:val="en-IN"/>
        </w:rPr>
        <w:t>sive of</w:t>
      </w:r>
      <w:r w:rsidRPr="00E37F11">
        <w:rPr>
          <w:rFonts w:ascii="Garamond" w:hAnsi="Garamond" w:cs="Times New Roman"/>
          <w:b/>
          <w:bCs/>
          <w:sz w:val="25"/>
          <w:szCs w:val="25"/>
          <w:lang w:val="en-IN"/>
        </w:rPr>
        <w:t xml:space="preserve"> footnotes):</w:t>
      </w:r>
      <w:r w:rsidRPr="00E37F11">
        <w:rPr>
          <w:rFonts w:ascii="Garamond" w:hAnsi="Garamond" w:cs="Times New Roman"/>
          <w:sz w:val="25"/>
          <w:szCs w:val="25"/>
          <w:lang w:val="en-IN"/>
        </w:rPr>
        <w:t xml:space="preserve"> In-depth, scholarly analyses offering comprehensive examinations of issues at the interface of digital competition regulation and international economic law.</w:t>
      </w:r>
    </w:p>
    <w:p w14:paraId="4D030066" w14:textId="77777777" w:rsidR="000A166D" w:rsidRPr="00E37F11" w:rsidRDefault="000A166D" w:rsidP="003E664D">
      <w:pPr>
        <w:pStyle w:val="BodyText"/>
        <w:numPr>
          <w:ilvl w:val="0"/>
          <w:numId w:val="2"/>
        </w:numPr>
        <w:spacing w:line="276" w:lineRule="auto"/>
        <w:jc w:val="both"/>
        <w:rPr>
          <w:rFonts w:ascii="Garamond" w:hAnsi="Garamond" w:cs="Times New Roman"/>
          <w:sz w:val="25"/>
          <w:szCs w:val="25"/>
          <w:lang w:val="en-IN"/>
        </w:rPr>
      </w:pPr>
      <w:r w:rsidRPr="00E37F11">
        <w:rPr>
          <w:rFonts w:ascii="Garamond" w:hAnsi="Garamond" w:cs="Times New Roman"/>
          <w:b/>
          <w:bCs/>
          <w:sz w:val="25"/>
          <w:szCs w:val="25"/>
          <w:lang w:val="en-IN"/>
        </w:rPr>
        <w:t>Essays (4,000–6,000 words):</w:t>
      </w:r>
      <w:r w:rsidRPr="00E37F11">
        <w:rPr>
          <w:rFonts w:ascii="Garamond" w:hAnsi="Garamond" w:cs="Times New Roman"/>
          <w:sz w:val="25"/>
          <w:szCs w:val="25"/>
          <w:lang w:val="en-IN"/>
        </w:rPr>
        <w:t xml:space="preserve"> Shorter pieces focusing on specific contemporary questions or case studies, adopting a more concise argumentative approach.</w:t>
      </w:r>
    </w:p>
    <w:p w14:paraId="07332D8A" w14:textId="33986ED6" w:rsidR="000A166D" w:rsidRPr="00E37F11" w:rsidRDefault="000A166D" w:rsidP="003E664D">
      <w:pPr>
        <w:pStyle w:val="BodyText"/>
        <w:numPr>
          <w:ilvl w:val="0"/>
          <w:numId w:val="2"/>
        </w:numPr>
        <w:spacing w:line="276" w:lineRule="auto"/>
        <w:jc w:val="both"/>
        <w:rPr>
          <w:rFonts w:ascii="Garamond" w:hAnsi="Garamond" w:cs="Times New Roman"/>
          <w:sz w:val="25"/>
          <w:szCs w:val="25"/>
          <w:lang w:val="en-IN"/>
        </w:rPr>
      </w:pPr>
      <w:r w:rsidRPr="00E37F11">
        <w:rPr>
          <w:rFonts w:ascii="Garamond" w:hAnsi="Garamond" w:cs="Times New Roman"/>
          <w:b/>
          <w:bCs/>
          <w:sz w:val="25"/>
          <w:szCs w:val="25"/>
          <w:lang w:val="en-IN"/>
        </w:rPr>
        <w:t>Case Notes/Commentary (1,500–3,000 words):</w:t>
      </w:r>
      <w:r w:rsidRPr="00E37F11">
        <w:rPr>
          <w:rFonts w:ascii="Garamond" w:hAnsi="Garamond" w:cs="Times New Roman"/>
          <w:sz w:val="25"/>
          <w:szCs w:val="25"/>
          <w:lang w:val="en-IN"/>
        </w:rPr>
        <w:t xml:space="preserve"> Discussions of recent legal developments such as analysis of a relevant </w:t>
      </w:r>
      <w:r w:rsidR="001C0EFD" w:rsidRPr="00E37F11">
        <w:rPr>
          <w:rFonts w:ascii="Garamond" w:hAnsi="Garamond" w:cs="Times New Roman"/>
          <w:sz w:val="25"/>
          <w:szCs w:val="25"/>
          <w:lang w:val="en-IN"/>
        </w:rPr>
        <w:t>trade</w:t>
      </w:r>
      <w:r w:rsidRPr="00E37F11">
        <w:rPr>
          <w:rFonts w:ascii="Garamond" w:hAnsi="Garamond" w:cs="Times New Roman"/>
          <w:sz w:val="25"/>
          <w:szCs w:val="25"/>
          <w:lang w:val="en-IN"/>
        </w:rPr>
        <w:t xml:space="preserve"> dispute, a competition law decision with international implications</w:t>
      </w:r>
      <w:r w:rsidR="001C0EFD" w:rsidRPr="00E37F11">
        <w:rPr>
          <w:rFonts w:ascii="Garamond" w:hAnsi="Garamond" w:cs="Times New Roman"/>
          <w:sz w:val="25"/>
          <w:szCs w:val="25"/>
          <w:lang w:val="en-IN"/>
        </w:rPr>
        <w:t xml:space="preserve"> </w:t>
      </w:r>
      <w:r w:rsidRPr="00E37F11">
        <w:rPr>
          <w:rFonts w:ascii="Garamond" w:hAnsi="Garamond" w:cs="Times New Roman"/>
          <w:sz w:val="25"/>
          <w:szCs w:val="25"/>
          <w:lang w:val="en-IN"/>
        </w:rPr>
        <w:t>or a legislative initiative</w:t>
      </w:r>
      <w:r w:rsidR="001C0EFD" w:rsidRPr="00E37F11">
        <w:rPr>
          <w:rFonts w:ascii="Garamond" w:hAnsi="Garamond" w:cs="Times New Roman"/>
          <w:sz w:val="25"/>
          <w:szCs w:val="25"/>
          <w:lang w:val="en-IN"/>
        </w:rPr>
        <w:t xml:space="preserve">, </w:t>
      </w:r>
      <w:r w:rsidRPr="00E37F11">
        <w:rPr>
          <w:rFonts w:ascii="Garamond" w:hAnsi="Garamond" w:cs="Times New Roman"/>
          <w:sz w:val="25"/>
          <w:szCs w:val="25"/>
          <w:lang w:val="en-IN"/>
        </w:rPr>
        <w:t>highlighting its significance for the special issue’s theme.</w:t>
      </w:r>
    </w:p>
    <w:p w14:paraId="4CA9E33E" w14:textId="3CFBE4E8" w:rsidR="00DC67FE" w:rsidRPr="00E37F11" w:rsidRDefault="000A166D" w:rsidP="003E664D">
      <w:pPr>
        <w:pStyle w:val="BodyText"/>
        <w:spacing w:line="276" w:lineRule="auto"/>
        <w:jc w:val="both"/>
        <w:rPr>
          <w:rFonts w:ascii="Garamond" w:hAnsi="Garamond" w:cs="Times New Roman"/>
          <w:sz w:val="25"/>
          <w:szCs w:val="25"/>
          <w:lang w:val="en-IN"/>
        </w:rPr>
      </w:pPr>
      <w:r w:rsidRPr="00E37F11">
        <w:rPr>
          <w:rFonts w:ascii="Garamond" w:hAnsi="Garamond" w:cs="Times New Roman"/>
          <w:sz w:val="25"/>
          <w:szCs w:val="25"/>
          <w:lang w:val="en-IN"/>
        </w:rPr>
        <w:t>Submissions should be made via the IJIEL Digital Commons portal b</w:t>
      </w:r>
      <w:r w:rsidR="005A42C2">
        <w:rPr>
          <w:rFonts w:ascii="Garamond" w:hAnsi="Garamond" w:cs="Times New Roman"/>
          <w:sz w:val="25"/>
          <w:szCs w:val="25"/>
          <w:lang w:val="en-IN"/>
        </w:rPr>
        <w:t xml:space="preserve">y </w:t>
      </w:r>
      <w:r w:rsidR="00D23261" w:rsidRPr="00D23261">
        <w:rPr>
          <w:rFonts w:ascii="Garamond" w:hAnsi="Garamond" w:cs="Times New Roman"/>
          <w:b/>
          <w:bCs/>
          <w:sz w:val="25"/>
          <w:szCs w:val="25"/>
          <w:lang w:val="en-IN"/>
        </w:rPr>
        <w:t>8</w:t>
      </w:r>
      <w:r w:rsidR="005A42C2" w:rsidRPr="00D23261">
        <w:rPr>
          <w:rFonts w:ascii="Garamond" w:hAnsi="Garamond" w:cs="Times New Roman"/>
          <w:b/>
          <w:bCs/>
          <w:sz w:val="25"/>
          <w:szCs w:val="25"/>
          <w:vertAlign w:val="superscript"/>
          <w:lang w:val="en-IN"/>
        </w:rPr>
        <w:t>th</w:t>
      </w:r>
      <w:r w:rsidR="005A42C2" w:rsidRPr="00D23261">
        <w:rPr>
          <w:rFonts w:ascii="Garamond" w:hAnsi="Garamond" w:cs="Times New Roman"/>
          <w:b/>
          <w:bCs/>
          <w:sz w:val="25"/>
          <w:szCs w:val="25"/>
          <w:lang w:val="en-IN"/>
        </w:rPr>
        <w:t xml:space="preserve"> </w:t>
      </w:r>
      <w:r w:rsidR="00D23261" w:rsidRPr="00D23261">
        <w:rPr>
          <w:rFonts w:ascii="Garamond" w:hAnsi="Garamond" w:cs="Times New Roman"/>
          <w:b/>
          <w:bCs/>
          <w:sz w:val="25"/>
          <w:szCs w:val="25"/>
          <w:lang w:val="en-IN"/>
        </w:rPr>
        <w:t>May</w:t>
      </w:r>
      <w:r w:rsidR="005A42C2" w:rsidRPr="00D23261">
        <w:rPr>
          <w:rFonts w:ascii="Garamond" w:hAnsi="Garamond" w:cs="Times New Roman"/>
          <w:b/>
          <w:bCs/>
          <w:sz w:val="25"/>
          <w:szCs w:val="25"/>
          <w:lang w:val="en-IN"/>
        </w:rPr>
        <w:t xml:space="preserve"> 2026</w:t>
      </w:r>
      <w:r w:rsidR="00D23261">
        <w:rPr>
          <w:rFonts w:ascii="Garamond" w:hAnsi="Garamond" w:cs="Times New Roman"/>
          <w:sz w:val="25"/>
          <w:szCs w:val="25"/>
          <w:lang w:val="en-IN"/>
        </w:rPr>
        <w:t>.</w:t>
      </w:r>
      <w:r w:rsidRPr="00E37F11">
        <w:rPr>
          <w:rFonts w:ascii="Garamond" w:hAnsi="Garamond" w:cs="Times New Roman"/>
          <w:sz w:val="25"/>
          <w:szCs w:val="25"/>
          <w:lang w:val="en-IN"/>
        </w:rPr>
        <w:t xml:space="preserve"> All manuscripts will undergo editorial screening followed by blind peer review. Authors are expected to adhere to the IJIEL style guide (footnote citations, OSCOLA format) and ensure that their work is original and unpublished. For detailed formatting instructions, please refer to the IJIEL website’s Instructions for Authors.</w:t>
      </w:r>
    </w:p>
    <w:p w14:paraId="4E8876EE" w14:textId="3A419CF7" w:rsidR="008665AB" w:rsidRPr="00E37F11" w:rsidRDefault="000A166D" w:rsidP="00332C51">
      <w:pPr>
        <w:pStyle w:val="BodyText"/>
        <w:spacing w:line="276" w:lineRule="auto"/>
        <w:jc w:val="both"/>
        <w:rPr>
          <w:rFonts w:ascii="Garamond" w:hAnsi="Garamond" w:cs="Times New Roman"/>
          <w:sz w:val="25"/>
          <w:szCs w:val="25"/>
          <w:lang w:val="en-IN"/>
        </w:rPr>
      </w:pPr>
      <w:r w:rsidRPr="00E37F11">
        <w:rPr>
          <w:rFonts w:ascii="Garamond" w:hAnsi="Garamond" w:cs="Times New Roman"/>
          <w:b/>
          <w:bCs/>
          <w:sz w:val="25"/>
          <w:szCs w:val="25"/>
          <w:lang w:val="en-IN"/>
        </w:rPr>
        <w:t>Contact:</w:t>
      </w:r>
      <w:r w:rsidRPr="00E37F11">
        <w:rPr>
          <w:rFonts w:ascii="Garamond" w:hAnsi="Garamond" w:cs="Times New Roman"/>
          <w:sz w:val="25"/>
          <w:szCs w:val="25"/>
          <w:lang w:val="en-IN"/>
        </w:rPr>
        <w:t xml:space="preserve"> For queries regarding this Special Issue, please contact the IJIEL Editorial Board at </w:t>
      </w:r>
      <w:hyperlink r:id="rId5" w:history="1">
        <w:r w:rsidR="008665AB" w:rsidRPr="00E37F11">
          <w:rPr>
            <w:rStyle w:val="Hyperlink"/>
            <w:rFonts w:ascii="Garamond" w:hAnsi="Garamond" w:cs="Times New Roman"/>
            <w:sz w:val="25"/>
            <w:szCs w:val="25"/>
            <w:lang w:val="en-IN"/>
          </w:rPr>
          <w:t>ijiel.communications@nls.ac.in</w:t>
        </w:r>
      </w:hyperlink>
      <w:r w:rsidRPr="00E37F11">
        <w:rPr>
          <w:rFonts w:ascii="Garamond" w:hAnsi="Garamond" w:cs="Times New Roman"/>
          <w:sz w:val="25"/>
          <w:szCs w:val="25"/>
          <w:lang w:val="en-IN"/>
        </w:rPr>
        <w:t xml:space="preserve">. </w:t>
      </w:r>
    </w:p>
    <w:p w14:paraId="1E323619" w14:textId="1418EBFB" w:rsidR="004B2596" w:rsidRPr="00E37F11" w:rsidRDefault="000A166D" w:rsidP="00332C51">
      <w:pPr>
        <w:pStyle w:val="BodyText"/>
        <w:spacing w:line="276" w:lineRule="auto"/>
        <w:jc w:val="both"/>
        <w:rPr>
          <w:rFonts w:ascii="Garamond" w:hAnsi="Garamond" w:cs="Times New Roman"/>
          <w:sz w:val="25"/>
          <w:szCs w:val="25"/>
          <w:lang w:val="en-IN"/>
        </w:rPr>
      </w:pPr>
      <w:r w:rsidRPr="00E37F11">
        <w:rPr>
          <w:rFonts w:ascii="Garamond" w:hAnsi="Garamond" w:cs="Times New Roman"/>
          <w:sz w:val="25"/>
          <w:szCs w:val="25"/>
          <w:lang w:val="en-IN"/>
        </w:rPr>
        <w:t xml:space="preserve">The Indian Journal of International Economic Law is an open-access, peer-reviewed journal published by National Law School of India University (NLSIU), Bangalore, under the auspices of the Chair on WTO Law. We look forward to your contributions and to advancing the discourse on how international economic law can engage with the critical questions of digital competition and regulation in the </w:t>
      </w:r>
      <w:r w:rsidR="002B0DBC">
        <w:rPr>
          <w:rFonts w:ascii="Garamond" w:hAnsi="Garamond" w:cs="Times New Roman"/>
          <w:sz w:val="25"/>
          <w:szCs w:val="25"/>
          <w:lang w:val="en-IN"/>
        </w:rPr>
        <w:t xml:space="preserve">international </w:t>
      </w:r>
      <w:r w:rsidRPr="00E37F11">
        <w:rPr>
          <w:rFonts w:ascii="Garamond" w:hAnsi="Garamond" w:cs="Times New Roman"/>
          <w:sz w:val="25"/>
          <w:szCs w:val="25"/>
          <w:lang w:val="en-IN"/>
        </w:rPr>
        <w:t>economy.</w:t>
      </w:r>
      <w:bookmarkEnd w:id="0"/>
    </w:p>
    <w:sectPr w:rsidR="004B2596" w:rsidRPr="00E37F1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FF8F8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255B5B71"/>
    <w:multiLevelType w:val="multilevel"/>
    <w:tmpl w:val="6E3C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584930">
    <w:abstractNumId w:val="0"/>
  </w:num>
  <w:num w:numId="2" w16cid:durableId="55235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96"/>
    <w:rsid w:val="000A166D"/>
    <w:rsid w:val="000B3205"/>
    <w:rsid w:val="000B443B"/>
    <w:rsid w:val="000D4A7E"/>
    <w:rsid w:val="00125D92"/>
    <w:rsid w:val="00142872"/>
    <w:rsid w:val="00144E54"/>
    <w:rsid w:val="00175A22"/>
    <w:rsid w:val="001766C5"/>
    <w:rsid w:val="001C0EFD"/>
    <w:rsid w:val="002A00DB"/>
    <w:rsid w:val="002B0DBC"/>
    <w:rsid w:val="00307C85"/>
    <w:rsid w:val="003121DD"/>
    <w:rsid w:val="00332C51"/>
    <w:rsid w:val="0037493C"/>
    <w:rsid w:val="003E664D"/>
    <w:rsid w:val="00423858"/>
    <w:rsid w:val="004B2596"/>
    <w:rsid w:val="00500BD6"/>
    <w:rsid w:val="0055426C"/>
    <w:rsid w:val="005A0D82"/>
    <w:rsid w:val="005A42C2"/>
    <w:rsid w:val="005A5568"/>
    <w:rsid w:val="00653981"/>
    <w:rsid w:val="006A635E"/>
    <w:rsid w:val="006D7A20"/>
    <w:rsid w:val="007434EA"/>
    <w:rsid w:val="007B7DC2"/>
    <w:rsid w:val="0081653F"/>
    <w:rsid w:val="008665AB"/>
    <w:rsid w:val="00A843FC"/>
    <w:rsid w:val="00AA58F4"/>
    <w:rsid w:val="00AA7FC3"/>
    <w:rsid w:val="00AB327D"/>
    <w:rsid w:val="00AC05B6"/>
    <w:rsid w:val="00AC60E9"/>
    <w:rsid w:val="00AF2A10"/>
    <w:rsid w:val="00C105F0"/>
    <w:rsid w:val="00C809D2"/>
    <w:rsid w:val="00CD0382"/>
    <w:rsid w:val="00CE18FE"/>
    <w:rsid w:val="00CE4819"/>
    <w:rsid w:val="00D054D0"/>
    <w:rsid w:val="00D23261"/>
    <w:rsid w:val="00DA159A"/>
    <w:rsid w:val="00DC67FE"/>
    <w:rsid w:val="00E276AB"/>
    <w:rsid w:val="00E37F11"/>
    <w:rsid w:val="00E6365E"/>
    <w:rsid w:val="00F77FC7"/>
    <w:rsid w:val="00FA0CC7"/>
    <w:rsid w:val="00FB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B91B"/>
  <w15:docId w15:val="{416E286C-E123-47CE-A324-A4B32190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apple-converted-space">
    <w:name w:val="apple-converted-space"/>
    <w:basedOn w:val="DefaultParagraphFont"/>
    <w:rsid w:val="00C809D2"/>
  </w:style>
  <w:style w:type="character" w:styleId="UnresolvedMention">
    <w:name w:val="Unresolved Mention"/>
    <w:basedOn w:val="DefaultParagraphFont"/>
    <w:uiPriority w:val="99"/>
    <w:semiHidden/>
    <w:unhideWhenUsed/>
    <w:rsid w:val="008665AB"/>
    <w:rPr>
      <w:color w:val="605E5C"/>
      <w:shd w:val="clear" w:color="auto" w:fill="E1DFDD"/>
    </w:rPr>
  </w:style>
  <w:style w:type="character" w:styleId="FollowedHyperlink">
    <w:name w:val="FollowedHyperlink"/>
    <w:basedOn w:val="DefaultParagraphFont"/>
    <w:rsid w:val="008665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jiel.communications@nls.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1645</Words>
  <Characters>10448</Characters>
  <Application>Microsoft Office Word</Application>
  <DocSecurity>0</DocSecurity>
  <Lines>147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Editor</dc:creator>
  <cp:keywords/>
  <cp:lastModifiedBy>adityatej </cp:lastModifiedBy>
  <cp:revision>6</cp:revision>
  <dcterms:created xsi:type="dcterms:W3CDTF">2026-03-18T04:43:00Z</dcterms:created>
  <dcterms:modified xsi:type="dcterms:W3CDTF">2026-04-09T12:01:00Z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